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spacing w:lineRule="auto" w:line="240"/>
        <w:jc w:val="center"/>
        <w:rPr>
          <w:rFonts w:ascii="Arial" w:hAnsi="Arial"/>
          <w:b/>
          <w:bCs/>
          <w:color w:val="000000"/>
        </w:rPr>
      </w:pPr>
      <w:r>
        <w:rPr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center"/>
        <w:rPr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/>
          <w:b/>
          <w:bCs/>
          <w:color w:val="000000"/>
          <w:sz w:val="20"/>
          <w:szCs w:val="20"/>
        </w:rPr>
        <w:t>TERMO DE REFERÊNCIA – LEI 14.133/21</w:t>
      </w:r>
    </w:p>
    <w:p>
      <w:pPr>
        <w:pStyle w:val="Normal"/>
        <w:spacing w:lineRule="auto" w:line="24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sz w:val="20"/>
          <w:szCs w:val="20"/>
        </w:rPr>
      </w:pPr>
      <w:r>
        <w:rPr>
          <w:rFonts w:ascii="Arial" w:hAnsi="Arial"/>
          <w:b/>
          <w:bCs/>
          <w:iCs/>
          <w:color w:val="000000"/>
          <w:sz w:val="20"/>
          <w:szCs w:val="20"/>
        </w:rPr>
        <w:t xml:space="preserve">REGISTRO DE PREÇOS – </w:t>
      </w:r>
      <w:r>
        <w:rPr>
          <w:rFonts w:cs="Arial" w:ascii="Arial" w:hAnsi="Arial"/>
          <w:b/>
          <w:bCs/>
          <w:iCs/>
          <w:color w:val="000000"/>
          <w:sz w:val="20"/>
          <w:szCs w:val="20"/>
        </w:rPr>
        <w:t>AQUISIÇÃO DE AUTOCLAVE</w:t>
      </w:r>
    </w:p>
    <w:p>
      <w:pPr>
        <w:pStyle w:val="Normal"/>
        <w:spacing w:lineRule="auto" w:line="24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Processo Administrativo nº </w:t>
      </w:r>
      <w:r>
        <w:rPr>
          <w:rFonts w:ascii="Arial" w:hAnsi="Arial"/>
          <w:b/>
          <w:bCs/>
          <w:color w:val="000000"/>
          <w:sz w:val="20"/>
          <w:szCs w:val="20"/>
        </w:rPr>
        <w:t>_______</w:t>
      </w:r>
      <w:r>
        <w:rPr>
          <w:rFonts w:cs="Arial" w:ascii="Arial" w:hAnsi="Arial"/>
          <w:b/>
          <w:bCs/>
          <w:color w:val="000000"/>
          <w:sz w:val="20"/>
          <w:szCs w:val="20"/>
        </w:rPr>
        <w:t>/2024 de 18 de julho de 2024 (Secretaria Municipal de Saúde)</w:t>
      </w:r>
    </w:p>
    <w:p>
      <w:pPr>
        <w:pStyle w:val="Normal"/>
        <w:spacing w:lineRule="auto" w:line="24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ivel1"/>
        <w:spacing w:lineRule="auto" w:line="240" w:before="0" w:after="0"/>
        <w:rPr>
          <w:sz w:val="20"/>
          <w:szCs w:val="20"/>
        </w:rPr>
      </w:pPr>
      <w:r>
        <w:rPr>
          <w:rFonts w:cs="Times New Roman"/>
          <w:bCs/>
          <w:sz w:val="20"/>
          <w:szCs w:val="20"/>
        </w:rPr>
        <w:t>1. DAS CONDIÇÕES GERAIS DA AQUISIÇÃO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left="0" w:hanging="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1.1 Abertura de Processo Licitatório - Registro de preços</w:t>
      </w:r>
      <w:r>
        <w:rPr>
          <w:rFonts w:ascii="Arial" w:hAnsi="Arial"/>
          <w:b/>
          <w:bCs/>
          <w:iCs/>
          <w:sz w:val="20"/>
          <w:szCs w:val="20"/>
        </w:rPr>
        <w:t xml:space="preserve"> </w:t>
      </w:r>
      <w:r>
        <w:rPr>
          <w:rFonts w:ascii="Arial" w:hAnsi="Arial"/>
          <w:iCs/>
          <w:sz w:val="20"/>
          <w:szCs w:val="20"/>
        </w:rPr>
        <w:t xml:space="preserve">para aquisição de equipamento autoclave atendendo as necessidades </w:t>
      </w:r>
      <w:r>
        <w:rPr>
          <w:rFonts w:eastAsia="Times New Roman" w:cs="Times New Roman" w:ascii="Arial" w:hAnsi="Arial"/>
          <w:iCs/>
          <w:color w:val="000000"/>
          <w:sz w:val="20"/>
          <w:szCs w:val="20"/>
        </w:rPr>
        <w:t>do Departamento de odontologia da Secretaria Municipal de Saúde dessa municipalidade.</w:t>
      </w:r>
    </w:p>
    <w:tbl>
      <w:tblPr>
        <w:tblW w:w="9281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681"/>
        <w:gridCol w:w="3680"/>
        <w:gridCol w:w="958"/>
        <w:gridCol w:w="1020"/>
        <w:gridCol w:w="1355"/>
        <w:gridCol w:w="1586"/>
      </w:tblGrid>
      <w:tr>
        <w:trPr>
          <w:trHeight w:val="269" w:hRule="atLeast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u w:val="single"/>
              </w:rPr>
              <w:t>UND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Preço unitário</w:t>
            </w:r>
            <w:r>
              <w:rPr>
                <w:rFonts w:cs="Arial" w:ascii="Arial" w:hAnsi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estimado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Preço total</w:t>
            </w:r>
            <w:r>
              <w:rPr>
                <w:rFonts w:cs="Arial" w:ascii="Arial" w:hAnsi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estimado</w:t>
            </w:r>
          </w:p>
        </w:tc>
      </w:tr>
      <w:tr>
        <w:trPr>
          <w:trHeight w:val="269" w:hRule="atLeast"/>
        </w:trPr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01</w:t>
            </w:r>
          </w:p>
        </w:tc>
        <w:tc>
          <w:tcPr>
            <w:tcW w:w="3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napToGrid w:val="false"/>
              <w:spacing w:lineRule="auto" w:line="240" w:before="0" w:after="200"/>
              <w:ind w:left="0" w:hanging="0"/>
              <w:contextualSpacing w:val="false"/>
              <w:jc w:val="both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AUTOCLAVE HORIZONTAL COM VASO DE PRESSÃO EM AÇO INOX DE NO MINIMO 20 LITROS.</w:t>
            </w:r>
          </w:p>
          <w:p>
            <w:pPr>
              <w:pStyle w:val="ListParagraph"/>
              <w:widowControl w:val="false"/>
              <w:snapToGrid w:val="false"/>
              <w:spacing w:lineRule="auto" w:line="240" w:before="0" w:after="200"/>
              <w:ind w:left="0" w:hanging="0"/>
              <w:contextualSpacing w:val="false"/>
              <w:jc w:val="both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Para esterilizar artigos e instrumentos termorresistentes utilizando vapor saturado sob pressão. Deve possuir sistema que cumpre a norma NBR ISO 13485. Deve possuir registro no INMETRO Nº 255 de 29/05/2014. Deve possuir display em LCD com no mínimo 4 programas de esterilização. Possibilitar secagem eficiente com porta fechada. Deve possuir e possibilitar o uso de no mínimo 03 bandejas em alumínio ou aço inox na câmara. A tampa deve ser em aço inox para maior segurança e facilidade de limpeza. Deve possuir sistema de ajuste para altitude visando evitar falhas na esterilização. Deve possuir desaeração e despressurização automáticas. Possuir programa de secagem extra, sistema eletrônico de cruzamento de dados, chave e trava da porta. Deve ser bivolt automática. Consumo de energia de no máximo 800 watts por hora. Consumo máximo de água destilada de 300ml por ciclo. Deve apresentar junto com a proposta a comprovação do Registro do fabricante no INMETRO. Potência mínima deve ser de 1500 Watts. Possuir diâmetro de no minimo 24 centímetros e profundidade do vaso de pressão de no mínimo 45 centímetros.</w:t>
            </w:r>
          </w:p>
          <w:p>
            <w:pPr>
              <w:pStyle w:val="ListParagraph"/>
              <w:widowControl w:val="false"/>
              <w:snapToGrid w:val="false"/>
              <w:spacing w:lineRule="auto" w:line="240" w:before="0" w:after="200"/>
              <w:ind w:left="0" w:hanging="0"/>
              <w:contextualSpacing w:val="false"/>
              <w:jc w:val="both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Garantia mínima do fabricante de 2 anos.</w:t>
            </w:r>
          </w:p>
          <w:p>
            <w:pPr>
              <w:pStyle w:val="ListParagraph"/>
              <w:widowControl w:val="false"/>
              <w:snapToGrid w:val="false"/>
              <w:spacing w:lineRule="auto" w:line="240" w:before="0" w:after="200"/>
              <w:ind w:left="0" w:hanging="0"/>
              <w:contextualSpacing w:val="false"/>
              <w:jc w:val="both"/>
              <w:rPr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 embalagem deve conter o copo graduado, suporte de bandeja, mínimo 03 bandejas, suporte para bandejas, abraçadeira e no mínimo 1,5 metros de mangueira para saída do vapor.</w:t>
            </w:r>
          </w:p>
          <w:p>
            <w:pPr>
              <w:pStyle w:val="ListParagraph"/>
              <w:widowControl w:val="false"/>
              <w:snapToGrid w:val="false"/>
              <w:spacing w:lineRule="auto" w:line="240" w:before="0" w:after="200"/>
              <w:ind w:left="0" w:hanging="0"/>
              <w:contextualSpacing w:val="false"/>
              <w:jc w:val="both"/>
              <w:rPr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  <w:shd w:fill="FFFFFF" w:val="clear"/>
              </w:rPr>
              <w:t>Voltagem: 127V ou BIVOLT.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UND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R$3.780,00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R$37.800,00</w:t>
            </w:r>
          </w:p>
        </w:tc>
      </w:tr>
      <w:tr>
        <w:trPr>
          <w:trHeight w:val="206" w:hRule="atLeast"/>
        </w:trPr>
        <w:tc>
          <w:tcPr>
            <w:tcW w:w="928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40"/>
              <w:jc w:val="righ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VALOR ESTIMADO TOTAL  R$37.800,00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0" w:leader="none"/>
        </w:tabs>
        <w:suppressAutoHyphens w:val="false"/>
        <w:spacing w:lineRule="auto" w:line="2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uppressAutoHyphens w:val="false"/>
        <w:spacing w:lineRule="auto" w:line="240"/>
        <w:ind w:left="-22" w:hanging="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1.2</w:t>
      </w:r>
      <w:bookmarkStart w:id="0" w:name="art23§712"/>
      <w:r>
        <w:rPr>
          <w:rFonts w:ascii="Arial" w:hAnsi="Arial"/>
          <w:iCs/>
          <w:sz w:val="20"/>
          <w:szCs w:val="20"/>
        </w:rPr>
        <w:t>. Os equipamentos propostos deverão, obrigatoriamente, atender as exigências de qualidade, observados os padrões e normas baixadas pelos órgãos competentes de controle e fiscalização de qualidade industrial ou equiparadas.</w:t>
      </w:r>
      <w:bookmarkStart w:id="1" w:name="art23§711"/>
    </w:p>
    <w:p>
      <w:pPr>
        <w:pStyle w:val="ListParagraph"/>
        <w:suppressAutoHyphens w:val="false"/>
        <w:spacing w:lineRule="auto" w:line="240"/>
        <w:ind w:left="-22" w:hanging="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 xml:space="preserve">1.3. </w:t>
      </w:r>
      <w:r>
        <w:rPr>
          <w:rFonts w:cs="Arial" w:ascii="Arial" w:hAnsi="Arial"/>
          <w:iCs/>
          <w:color w:val="000000"/>
          <w:sz w:val="20"/>
          <w:szCs w:val="20"/>
        </w:rPr>
        <w:t xml:space="preserve">O prazo de vigência da </w:t>
      </w:r>
      <w:r>
        <w:rPr>
          <w:rFonts w:eastAsia="Times New Roman" w:cs="Arial" w:ascii="Arial" w:hAnsi="Arial"/>
          <w:iCs/>
          <w:color w:val="000000"/>
          <w:sz w:val="20"/>
          <w:szCs w:val="20"/>
        </w:rPr>
        <w:t>aquisição</w:t>
      </w:r>
      <w:r>
        <w:rPr>
          <w:rFonts w:cs="Arial" w:ascii="Arial" w:hAnsi="Arial"/>
          <w:iCs/>
          <w:color w:val="000000"/>
          <w:sz w:val="20"/>
          <w:szCs w:val="20"/>
        </w:rPr>
        <w:t xml:space="preserve"> será de 01 (</w:t>
      </w:r>
      <w:r>
        <w:rPr>
          <w:rFonts w:eastAsia="Times New Roman" w:cs="Arial" w:ascii="Arial" w:hAnsi="Arial"/>
          <w:iCs/>
          <w:color w:val="000000"/>
          <w:sz w:val="20"/>
          <w:szCs w:val="20"/>
        </w:rPr>
        <w:t>um</w:t>
      </w:r>
      <w:r>
        <w:rPr>
          <w:rFonts w:cs="Arial" w:ascii="Arial" w:hAnsi="Arial"/>
          <w:iCs/>
          <w:color w:val="000000"/>
          <w:sz w:val="20"/>
          <w:szCs w:val="20"/>
        </w:rPr>
        <w:t xml:space="preserve">) ano, </w:t>
      </w:r>
      <w:r>
        <w:rPr>
          <w:rFonts w:cs="Arial" w:ascii="Arial" w:hAnsi="Arial"/>
          <w:iCs/>
          <w:color w:val="FF0000"/>
          <w:sz w:val="20"/>
          <w:szCs w:val="20"/>
        </w:rPr>
        <w:t xml:space="preserve"> </w:t>
      </w:r>
      <w:r>
        <w:rPr>
          <w:rFonts w:cs="Arial" w:ascii="Arial" w:hAnsi="Arial"/>
          <w:iCs/>
          <w:color w:val="000000"/>
          <w:sz w:val="20"/>
          <w:szCs w:val="20"/>
        </w:rPr>
        <w:t>contados a partir da assinatura da Ata de Registro de Preços.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left="0" w:hanging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iCs/>
          <w:color w:val="000000"/>
          <w:sz w:val="20"/>
          <w:szCs w:val="20"/>
        </w:rPr>
        <w:t>1.4. O custo estimado total da aquisição é de</w:t>
      </w:r>
      <w:r>
        <w:rPr>
          <w:rFonts w:eastAsia="Times New Roman" w:cs="Times New Roman" w:ascii="Arial" w:hAnsi="Arial"/>
          <w:i/>
          <w:iCs/>
          <w:color w:val="FF0000"/>
          <w:sz w:val="20"/>
          <w:szCs w:val="20"/>
        </w:rPr>
        <w:t xml:space="preserve"> </w:t>
      </w:r>
      <w:r>
        <w:rPr>
          <w:rFonts w:eastAsia="Times New Roman" w:cs="Arial" w:ascii="Arial" w:hAnsi="Arial"/>
          <w:color w:val="000000"/>
          <w:sz w:val="20"/>
          <w:szCs w:val="20"/>
          <w:lang w:eastAsia="zh-CN"/>
        </w:rPr>
        <w:t xml:space="preserve">R$ </w:t>
      </w:r>
      <w:r>
        <w:rPr>
          <w:rFonts w:eastAsia="Times New Roman" w:cs="Arial" w:ascii="Arial" w:hAnsi="Arial"/>
          <w:color w:val="111111"/>
          <w:sz w:val="20"/>
          <w:szCs w:val="20"/>
          <w:lang w:eastAsia="zh-CN"/>
        </w:rPr>
        <w:t>37.800,00</w:t>
      </w:r>
      <w:r>
        <w:rPr>
          <w:rFonts w:eastAsia="Times New Roman" w:cs="Arial" w:ascii="Arial" w:hAnsi="Arial"/>
          <w:color w:val="000000"/>
          <w:sz w:val="20"/>
          <w:szCs w:val="20"/>
          <w:lang w:eastAsia="zh-CN"/>
        </w:rPr>
        <w:t xml:space="preserve"> ( trinta e sete mil oitocentos reais)</w:t>
      </w:r>
      <w:r>
        <w:rPr>
          <w:rFonts w:eastAsia="Times New Roman" w:cs="Times New Roman" w:ascii="Arial" w:hAnsi="Arial"/>
          <w:i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Arial" w:hAnsi="Arial"/>
          <w:iCs/>
          <w:color w:val="000000"/>
          <w:sz w:val="20"/>
          <w:szCs w:val="20"/>
        </w:rPr>
        <w:t>conforme custos unitários  apostos nos orçamentos e no quadro comparativo de preços simples em anexo.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left="0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1.5. </w:t>
      </w:r>
      <w:r>
        <w:rPr>
          <w:rFonts w:eastAsia="Times New Roman" w:cs="Times New Roman" w:ascii="Arial" w:hAnsi="Arial"/>
          <w:color w:val="000000"/>
          <w:sz w:val="20"/>
          <w:szCs w:val="20"/>
        </w:rPr>
        <w:t>Justifica-se a utilização de modelo de referência a fim de determinar com maior precisão a qualidade do produto que esta Administração deseja, com a finalidade de garantir maior eficiência nas compras realizadas pelo Município (art. 41, I “d, Lei 14.133/2021).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left="0" w:hanging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ivel1"/>
        <w:spacing w:lineRule="auto" w:line="240" w:before="0" w:after="0"/>
        <w:rPr>
          <w:sz w:val="20"/>
          <w:szCs w:val="20"/>
        </w:rPr>
      </w:pPr>
      <w:r>
        <w:rPr>
          <w:rFonts w:cs="Times New Roman"/>
          <w:bCs/>
          <w:sz w:val="20"/>
          <w:szCs w:val="20"/>
        </w:rPr>
        <w:t>2. FUNDAMENTAÇÃO E DESCRIÇÃO DA NECESSIDADE DA AQUISIÇÃO</w:t>
      </w:r>
      <w:bookmarkStart w:id="2" w:name="art23§71"/>
      <w:bookmarkStart w:id="3" w:name="art23§73"/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2.1. </w:t>
      </w:r>
      <w:r>
        <w:rPr>
          <w:rFonts w:cs="Arial" w:ascii="Arial" w:hAnsi="Arial"/>
          <w:sz w:val="20"/>
          <w:szCs w:val="20"/>
        </w:rPr>
        <w:t xml:space="preserve">Aquisição </w:t>
      </w:r>
      <w:r>
        <w:rPr>
          <w:rFonts w:cs="Arial" w:ascii="Arial" w:hAnsi="Arial"/>
          <w:b/>
          <w:sz w:val="20"/>
          <w:szCs w:val="20"/>
        </w:rPr>
        <w:t>por meio de Registro de Preços</w:t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sz w:val="20"/>
          <w:szCs w:val="20"/>
        </w:rPr>
      </w:pPr>
      <w:r>
        <w:rPr>
          <w:rFonts w:eastAsia="Arial" w:cs="Arial" w:ascii="Arial" w:hAnsi="Arial"/>
          <w:b/>
          <w:sz w:val="20"/>
          <w:szCs w:val="20"/>
        </w:rPr>
        <w:t xml:space="preserve">2.2. </w:t>
      </w:r>
      <w:r>
        <w:rPr>
          <w:rFonts w:cs="Arial" w:ascii="Arial" w:hAnsi="Arial"/>
          <w:bCs/>
          <w:sz w:val="20"/>
          <w:szCs w:val="20"/>
        </w:rPr>
        <w:t>Necessidade de aquisição de Autoclave para atender o Departamento Odontológico da Secretaria Municipal de Saúde.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2.3.</w:t>
      </w:r>
      <w:r>
        <w:rPr>
          <w:rFonts w:cs="Arial" w:ascii="Arial" w:hAnsi="Arial"/>
          <w:bCs/>
          <w:sz w:val="20"/>
          <w:szCs w:val="20"/>
        </w:rPr>
        <w:t xml:space="preserve"> Considerando que as aquisições são necessárias uma vez que</w:t>
      </w:r>
      <w:r>
        <w:rPr>
          <w:rFonts w:cs="Arial" w:ascii="Arial" w:hAnsi="Arial"/>
          <w:sz w:val="20"/>
          <w:szCs w:val="20"/>
        </w:rPr>
        <w:t xml:space="preserve"> os materiais necessitam estar esterilizados e aptos para uso, garantindo a proteção e saúde dos pacientes durante todos os procedimentos odontológicos.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sz w:val="20"/>
          <w:szCs w:val="20"/>
        </w:rPr>
      </w:r>
    </w:p>
    <w:p>
      <w:pPr>
        <w:pStyle w:val="ListParagraph"/>
        <w:spacing w:lineRule="auto" w:line="240"/>
        <w:ind w:left="0" w:hanging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3. DESCRIÇÃO DA SOLUÇÃO</w:t>
      </w:r>
    </w:p>
    <w:p>
      <w:pPr>
        <w:pStyle w:val="Normal"/>
        <w:spacing w:lineRule="auto" w:line="240"/>
        <w:ind w:right="143" w:hanging="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3.0. A solução consiste em manter o Departamento odontológico devidamente seguro nos procedimentos realizados diariamente em atendimento à população, trazendo segurança e proteção, evitando riscos à saúde e também evitando a contaminação cruzada entre os pacientes, onde o uso e aquisição da Autoclave é de extrema necessidade para cumprir os protocolos de segurança.</w:t>
      </w:r>
    </w:p>
    <w:p>
      <w:pPr>
        <w:pStyle w:val="Normal"/>
        <w:spacing w:lineRule="auto" w:line="240"/>
        <w:ind w:right="143" w:hanging="0"/>
        <w:jc w:val="both"/>
        <w:rPr>
          <w:rFonts w:ascii="Arial" w:hAnsi="Arial" w:cs="Arial"/>
        </w:rPr>
      </w:pPr>
      <w:r>
        <w:rPr>
          <w:sz w:val="20"/>
          <w:szCs w:val="20"/>
        </w:rPr>
      </w:r>
    </w:p>
    <w:p>
      <w:pPr>
        <w:pStyle w:val="Nivel1"/>
        <w:spacing w:lineRule="auto" w:line="240" w:before="0" w:after="0"/>
        <w:rPr>
          <w:sz w:val="20"/>
          <w:szCs w:val="20"/>
        </w:rPr>
      </w:pPr>
      <w:r>
        <w:rPr>
          <w:bCs/>
          <w:sz w:val="20"/>
          <w:szCs w:val="20"/>
        </w:rPr>
        <w:t>4. CLASSIFICAÇÃO DOS BENS COMUNS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4.1. Trata-se de bens comuns a ser contratado mediante registro de preços.</w:t>
      </w:r>
    </w:p>
    <w:p>
      <w:pPr>
        <w:pStyle w:val="Normal"/>
        <w:spacing w:lineRule="auto" w:line="240"/>
        <w:jc w:val="both"/>
        <w:rPr>
          <w:rFonts w:ascii="Arial" w:hAnsi="Arial" w:cs="Arial"/>
          <w:color w:val="00000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5. REQUISITOS DA CONTRATAÇÃO/AQUISIÇÃO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A aquisição deverá observar os seguintes requisitos: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5.1. Não haverá danos ao meio ambiente, uma vez que a aquisição não gera  problema para a Administração Pública.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240"/>
        <w:ind w:left="35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5.2. A aquisição se dará por </w:t>
      </w:r>
      <w:r>
        <w:rPr>
          <w:rFonts w:eastAsia="Times New Roman" w:cs="Times New Roman" w:ascii="Arial" w:hAnsi="Arial"/>
          <w:sz w:val="20"/>
          <w:szCs w:val="20"/>
        </w:rPr>
        <w:t>registro de preços</w:t>
      </w:r>
      <w:r>
        <w:rPr>
          <w:rFonts w:ascii="Arial" w:hAnsi="Arial"/>
          <w:sz w:val="20"/>
          <w:szCs w:val="20"/>
        </w:rPr>
        <w:t xml:space="preserve">, </w:t>
      </w:r>
      <w:r>
        <w:rPr>
          <w:rFonts w:eastAsia="Times New Roman" w:cs="Arial" w:ascii="Arial" w:hAnsi="Arial"/>
          <w:sz w:val="20"/>
          <w:szCs w:val="20"/>
        </w:rPr>
        <w:t xml:space="preserve">sendo necessária a emissão de autorização de fornecimento </w:t>
      </w:r>
      <w:r>
        <w:rPr>
          <w:rFonts w:eastAsia="Times New Roman" w:cs="Arial" w:ascii="Arial" w:hAnsi="Arial"/>
          <w:sz w:val="20"/>
          <w:szCs w:val="20"/>
          <w:lang w:eastAsia="zh-CN"/>
        </w:rPr>
        <w:t xml:space="preserve">dos itens concedendo o prazo de 20 ( vinte)  dias para a entrega, </w:t>
      </w:r>
      <w:r>
        <w:rPr>
          <w:rFonts w:ascii="Arial" w:hAnsi="Arial"/>
          <w:sz w:val="20"/>
          <w:szCs w:val="20"/>
        </w:rPr>
        <w:t>por parte DA CONTRATADA sendo sagrado vencedor o fornecedor que apresentar o menor valor por item a ser adquirido.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240"/>
        <w:ind w:left="35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5.3. A empresa detentora da ata registrará o preço por 01 (um) </w:t>
      </w:r>
      <w:r>
        <w:rPr>
          <w:rFonts w:eastAsia="Times New Roman" w:cs="Times New Roman" w:ascii="Arial" w:hAnsi="Arial"/>
          <w:sz w:val="20"/>
          <w:szCs w:val="20"/>
        </w:rPr>
        <w:t>ano</w:t>
      </w:r>
      <w:r>
        <w:rPr>
          <w:rFonts w:ascii="Arial" w:hAnsi="Arial"/>
          <w:sz w:val="20"/>
          <w:szCs w:val="20"/>
        </w:rPr>
        <w:t>, podendo ou não a secretaria requisitar a entrega dos equipamentos, dependendo da demanda.</w:t>
      </w:r>
    </w:p>
    <w:p>
      <w:pPr>
        <w:pStyle w:val="Normal"/>
        <w:shd w:val="clear" w:color="auto" w:fill="FFFFFF"/>
        <w:suppressAutoHyphens w:val="false"/>
        <w:spacing w:lineRule="auto" w:line="240"/>
        <w:ind w:hanging="57"/>
        <w:jc w:val="both"/>
        <w:rPr>
          <w:sz w:val="20"/>
          <w:szCs w:val="20"/>
        </w:rPr>
      </w:pPr>
      <w:r>
        <w:rPr>
          <w:rFonts w:eastAsia="Calibri" w:ascii="Arial" w:hAnsi="Arial"/>
          <w:sz w:val="20"/>
          <w:szCs w:val="20"/>
          <w:highlight w:val="white"/>
        </w:rPr>
        <w:t xml:space="preserve"> </w:t>
      </w:r>
      <w:r>
        <w:rPr>
          <w:rFonts w:eastAsia="Calibri" w:ascii="Arial" w:hAnsi="Arial"/>
          <w:sz w:val="20"/>
          <w:szCs w:val="20"/>
          <w:highlight w:val="white"/>
        </w:rPr>
        <w:t xml:space="preserve">5.4. A CONTRATADA deverá entregar os equipamentos de acordo com as especificações mínimas apresentadas </w:t>
      </w:r>
      <w:r>
        <w:rPr>
          <w:rFonts w:ascii="Arial" w:hAnsi="Arial"/>
          <w:sz w:val="20"/>
          <w:szCs w:val="20"/>
        </w:rPr>
        <w:t xml:space="preserve">na autorização de fornecimento/execução e </w:t>
      </w:r>
      <w:r>
        <w:rPr>
          <w:rFonts w:eastAsia="Calibri" w:ascii="Arial" w:hAnsi="Arial"/>
          <w:sz w:val="20"/>
          <w:szCs w:val="20"/>
          <w:highlight w:val="white"/>
        </w:rPr>
        <w:t>em perfeitas condições de uso.</w:t>
      </w:r>
    </w:p>
    <w:p>
      <w:pPr>
        <w:pStyle w:val="ListParagraph"/>
        <w:shd w:val="clear" w:color="auto" w:fill="FFFFFF"/>
        <w:suppressAutoHyphens w:val="false"/>
        <w:spacing w:lineRule="auto" w:line="240"/>
        <w:ind w:left="57" w:hanging="57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  <w:highlight w:val="white"/>
        </w:rPr>
        <w:t xml:space="preserve">5.5. A </w:t>
      </w:r>
      <w:r>
        <w:rPr>
          <w:rFonts w:cs="Times New Roman" w:ascii="Arial" w:hAnsi="Arial"/>
          <w:sz w:val="20"/>
          <w:szCs w:val="20"/>
          <w:highlight w:val="white"/>
        </w:rPr>
        <w:t>aquisição</w:t>
      </w:r>
      <w:r>
        <w:rPr>
          <w:rFonts w:ascii="Arial" w:hAnsi="Arial"/>
          <w:sz w:val="20"/>
          <w:szCs w:val="20"/>
          <w:highlight w:val="white"/>
        </w:rPr>
        <w:t xml:space="preserve"> deverá obedecer, no que couber, ao disposto na Lei nº 14.133/2021 e suas alterações.</w:t>
      </w:r>
    </w:p>
    <w:p>
      <w:pPr>
        <w:pStyle w:val="ListParagraph"/>
        <w:tabs>
          <w:tab w:val="clear" w:pos="708"/>
          <w:tab w:val="left" w:pos="450" w:leader="none"/>
        </w:tabs>
        <w:spacing w:lineRule="auto" w:line="240"/>
        <w:ind w:left="-2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5.6. A </w:t>
      </w:r>
      <w:r>
        <w:rPr>
          <w:rFonts w:eastAsia="Times New Roman" w:cs="Times New Roman" w:ascii="Arial" w:hAnsi="Arial"/>
          <w:sz w:val="20"/>
          <w:szCs w:val="20"/>
        </w:rPr>
        <w:t>CONTRATADA</w:t>
      </w:r>
      <w:r>
        <w:rPr>
          <w:rFonts w:ascii="Arial" w:hAnsi="Arial"/>
          <w:sz w:val="20"/>
          <w:szCs w:val="20"/>
        </w:rPr>
        <w:t xml:space="preserve"> deverá entregar os equipamentos na data estipulada na autorização de fornecimento/execução emitida pelo Departamento de Compras da Secretaria Municipal de Saúde.</w:t>
      </w:r>
    </w:p>
    <w:p>
      <w:pPr>
        <w:pStyle w:val="ListParagraph"/>
        <w:spacing w:lineRule="auto" w:line="240"/>
        <w:ind w:left="-2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5.7.  Não será admitida a subcontratação do objeto contratual.</w:t>
      </w:r>
    </w:p>
    <w:p>
      <w:pPr>
        <w:pStyle w:val="ListParagraph"/>
        <w:spacing w:lineRule="auto" w:line="240"/>
        <w:ind w:left="-22" w:hanging="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5.8. Não haverá exigência da garantia da </w:t>
      </w:r>
      <w:r>
        <w:rPr>
          <w:rFonts w:eastAsia="Times New Roman" w:cs="Arial" w:ascii="Arial" w:hAnsi="Arial"/>
          <w:color w:val="000000"/>
          <w:sz w:val="20"/>
          <w:szCs w:val="20"/>
        </w:rPr>
        <w:t>aquisição</w:t>
      </w:r>
      <w:r>
        <w:rPr>
          <w:rFonts w:cs="Arial" w:ascii="Arial" w:hAnsi="Arial"/>
          <w:color w:val="000000"/>
          <w:sz w:val="20"/>
          <w:szCs w:val="20"/>
        </w:rPr>
        <w:t xml:space="preserve"> dos arts. 96 e seguintes da Lei nº 14.133/21.</w:t>
      </w:r>
    </w:p>
    <w:p>
      <w:pPr>
        <w:pStyle w:val="ListParagraph"/>
        <w:spacing w:lineRule="auto" w:line="240"/>
        <w:ind w:left="-22" w:hanging="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5.9. Não haverá reajustamento de preços dos produtos adquiridos.</w:t>
      </w:r>
    </w:p>
    <w:p>
      <w:pPr>
        <w:pStyle w:val="ListParagraph"/>
        <w:spacing w:lineRule="auto" w:line="240"/>
        <w:ind w:left="-22" w:hanging="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5.10. Não se verifica contratações correlatas no presente exercício.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5.11.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5.12</w:t>
      </w:r>
      <w:r>
        <w:rPr>
          <w:rFonts w:cs="Arial" w:ascii="Arial" w:hAnsi="Arial"/>
          <w:b/>
          <w:color w:val="000000"/>
          <w:sz w:val="20"/>
          <w:szCs w:val="20"/>
        </w:rPr>
        <w:t>.</w:t>
      </w:r>
      <w:r>
        <w:rPr>
          <w:rFonts w:cs="Arial" w:ascii="Arial" w:hAnsi="Arial"/>
          <w:color w:val="000000"/>
          <w:sz w:val="20"/>
          <w:szCs w:val="20"/>
        </w:rPr>
        <w:t xml:space="preserve"> Os insumos necessários às embalagens, carga e descarga serão responsabilidade da contratada</w:t>
      </w:r>
    </w:p>
    <w:p>
      <w:pPr>
        <w:pStyle w:val="ListParagraph"/>
        <w:spacing w:lineRule="auto" w:line="240"/>
        <w:ind w:left="-22" w:hanging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ivel1"/>
        <w:suppressAutoHyphens w:val="true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  <w:t>6. ENTREGA E CRITÉRIOS DE ACEITAÇÃO DO OBJETO.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6.1.</w:t>
      </w:r>
      <w:r>
        <w:rPr>
          <w:rFonts w:cs="Arial" w:ascii="Arial" w:hAnsi="Arial"/>
          <w:sz w:val="20"/>
          <w:szCs w:val="20"/>
        </w:rPr>
        <w:t xml:space="preserve"> Os equipamentos deverão ser entregues no Almoxarifado da Atenção Básica com localização na sede do Município, de segunda à quinta feira das 07h às 16h, e na sexta feira de 7:00hs da manha até as 13 horas da tarde,  observando os dias de funcionamento, juntamente com a Nota Fiscal, pelo prazo de 20 </w:t>
      </w:r>
      <w:r>
        <w:rPr>
          <w:rFonts w:cs="Arial" w:ascii="Arial" w:hAnsi="Arial"/>
          <w:b/>
          <w:bCs/>
          <w:sz w:val="20"/>
          <w:szCs w:val="20"/>
        </w:rPr>
        <w:t xml:space="preserve"> dias </w:t>
      </w:r>
      <w:r>
        <w:rPr>
          <w:rFonts w:cs="Arial" w:ascii="Arial" w:hAnsi="Arial"/>
          <w:sz w:val="20"/>
          <w:szCs w:val="20"/>
        </w:rPr>
        <w:t>a contar do recebimento da Autorização de Fornecimento, emitida pelo Departamento de Compras da Secretaria Municipal de Saúde.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6.2.</w:t>
      </w:r>
      <w:r>
        <w:rPr>
          <w:rFonts w:cs="Arial" w:ascii="Arial" w:hAnsi="Arial"/>
          <w:sz w:val="20"/>
          <w:szCs w:val="20"/>
        </w:rPr>
        <w:t xml:space="preserve"> A entrega deverá ocorrer sem qualquer ônus adicional, bem como a descarga e todas as demais despesas provenientes da mesma, previamente agendada com a Secretaria Municipal de Saúde.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6.3.</w:t>
      </w:r>
      <w:r>
        <w:rPr>
          <w:rFonts w:cs="Arial" w:ascii="Arial" w:hAnsi="Arial"/>
          <w:sz w:val="20"/>
          <w:szCs w:val="20"/>
        </w:rPr>
        <w:t xml:space="preserve"> A CONTRATADA garantirá a qualidade dos equipamentos obrigando-se a repor aquele que apresentar defeito ou for entregue em desacordo com o apresentado na proposta; 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6.4.</w:t>
      </w:r>
      <w:r>
        <w:rPr>
          <w:rFonts w:cs="Arial" w:ascii="Arial" w:hAnsi="Arial"/>
          <w:sz w:val="20"/>
          <w:szCs w:val="20"/>
        </w:rPr>
        <w:t xml:space="preserve"> O recebimento </w:t>
      </w:r>
      <w:r>
        <w:rPr>
          <w:rFonts w:cs="Arial" w:ascii="Arial" w:hAnsi="Arial"/>
          <w:b/>
          <w:sz w:val="20"/>
          <w:szCs w:val="20"/>
        </w:rPr>
        <w:t>provisório</w:t>
      </w:r>
      <w:r>
        <w:rPr>
          <w:rFonts w:cs="Arial" w:ascii="Arial" w:hAnsi="Arial"/>
          <w:sz w:val="20"/>
          <w:szCs w:val="20"/>
        </w:rPr>
        <w:t xml:space="preserve"> dos equipamentos entregue dar-se-á pela conferência com a descrição constante da ordem de fornecimento;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6.5.</w:t>
      </w:r>
      <w:r>
        <w:rPr>
          <w:rFonts w:cs="Arial" w:ascii="Arial" w:hAnsi="Arial"/>
          <w:sz w:val="20"/>
          <w:szCs w:val="20"/>
        </w:rPr>
        <w:t xml:space="preserve"> O recebimento </w:t>
      </w:r>
      <w:r>
        <w:rPr>
          <w:rFonts w:cs="Arial" w:ascii="Arial" w:hAnsi="Arial"/>
          <w:b/>
          <w:sz w:val="20"/>
          <w:szCs w:val="20"/>
        </w:rPr>
        <w:t>definitivo</w:t>
      </w:r>
      <w:r>
        <w:rPr>
          <w:rFonts w:cs="Arial" w:ascii="Arial" w:hAnsi="Arial"/>
          <w:sz w:val="20"/>
          <w:szCs w:val="20"/>
        </w:rPr>
        <w:t xml:space="preserve"> ocorrerá com a verificação integral das características do produto fornecido pela CONTRATADA;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6.6.</w:t>
      </w:r>
      <w:r>
        <w:rPr>
          <w:rFonts w:cs="Arial" w:ascii="Arial" w:hAnsi="Arial"/>
          <w:sz w:val="20"/>
          <w:szCs w:val="20"/>
        </w:rPr>
        <w:t xml:space="preserve"> O recebimento definitivo não isenta a CONTRATADA de responsabilidades futuras quanto à qualidade dos fornecimentos e serviços prestados.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6.7.</w:t>
      </w:r>
      <w:r>
        <w:rPr>
          <w:rFonts w:cs="Arial" w:ascii="Arial" w:hAnsi="Arial"/>
          <w:sz w:val="20"/>
          <w:szCs w:val="20"/>
        </w:rPr>
        <w:t xml:space="preserve"> O recebimento provisório dos equipamentos não implica aceitação dos mesmos;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 xml:space="preserve">6.8. </w:t>
      </w:r>
      <w:r>
        <w:rPr>
          <w:rFonts w:cs="Arial" w:ascii="Arial" w:hAnsi="Arial"/>
          <w:color w:val="000000"/>
          <w:sz w:val="20"/>
          <w:szCs w:val="20"/>
        </w:rPr>
        <w:t xml:space="preserve"> Havendo erro na Nota Fiscal ou outra circunstância impeditiva, o recebimento definitivo será suspenso, até que a empresa tome as medidas saneadoras necessárias;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- CONTATO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Tel: </w:t>
      </w:r>
      <w:r>
        <w:rPr>
          <w:rFonts w:cs="Arial" w:ascii="Arial" w:hAnsi="Arial"/>
          <w:sz w:val="20"/>
          <w:szCs w:val="20"/>
        </w:rPr>
        <w:t>27 9 9740 8895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Email: </w:t>
      </w:r>
      <w:r>
        <w:rPr>
          <w:rFonts w:cs="Arial" w:ascii="Arial" w:hAnsi="Arial"/>
          <w:sz w:val="20"/>
          <w:szCs w:val="20"/>
        </w:rPr>
        <w:t>setorcomprassgp@gmail.com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 xml:space="preserve">Responsável: </w:t>
      </w:r>
      <w:r>
        <w:rPr>
          <w:rFonts w:cs="Arial" w:ascii="Arial" w:hAnsi="Arial"/>
          <w:color w:val="000000"/>
          <w:sz w:val="20"/>
          <w:szCs w:val="20"/>
        </w:rPr>
        <w:t>Secretaria Municipal de Saúde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7. OBRIGAÇÕES DA CONTRATANTE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7.1. Receber os equipamentos no prazo e condições estabelecidas neste Termo de Referência e seus anexos.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7.2. </w:t>
      </w:r>
      <w:bookmarkStart w:id="4" w:name="page68R_mcid7"/>
      <w:r>
        <w:rPr>
          <w:rFonts w:cs="Arial" w:ascii="Arial" w:hAnsi="Arial"/>
          <w:color w:val="000000"/>
          <w:sz w:val="20"/>
          <w:szCs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7.4. Acompanhar e fiscalizar o cumprimento das obrigações da Contratada, através do setor responsável.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7.5. Efetuar o pagamento à Contratada no valor correspondente ao fornecimento dos equipamentos no prazo e forma estabelecidos neste TR e seus anexos.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7.6.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8. OBRIGAÇÕES DA CONTRATADA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  <w:bookmarkStart w:id="5" w:name="page68R_mcid171"/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8.2. Efetuar a entrega dos equipamentos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8.4. Substituir, reparar ou corrigir, às suas expensas, no prazo fixado neste Termo de Referência, o objeto com avarias ou defeitos.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8.5. Comunicar à Contratante, no prazo máximo de 05 (cinco) dias que antecede a data da entrega, os motivos que impossibilitem o cumprimento do prazo previsto, com a devida comprovação.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8.6. Manter, durante toda a execução da ata de registro de preços,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8.7. Indicar preposto para representá-la durante a execução Da ata de registro de preços.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8.8. 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8.9.Durante a execução da ata de registro de preços, a contratada deverá:</w:t>
      </w:r>
      <w:r>
        <w:rPr>
          <w:rFonts w:ascii="Arial" w:hAnsi="Arial"/>
          <w:sz w:val="20"/>
          <w:szCs w:val="20"/>
        </w:rPr>
        <w:br/>
      </w:r>
      <w:r>
        <w:rPr>
          <w:rFonts w:cs="Arial" w:ascii="Arial" w:hAnsi="Arial"/>
          <w:color w:val="000000"/>
          <w:sz w:val="20"/>
          <w:szCs w:val="20"/>
        </w:rPr>
        <w:t>8.9.1. Atender prontamente às solicitações da secretaria no fornecimento dos equipamentos nas quantidades e especificações deste 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8.9.2. Entregar os equipamentos acondicionados adequadamente, em invólucro lacrado, de forma a permitir completa segurança durante o transporte, acompanhado de nota fiscal, discriminado o quantitativo do produto, de acordo com as especificações técnicas.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8.9.3. A nota fiscal deverá ser acompanhada pelas Certidões de Regularidades Fiscais.</w:t>
      </w:r>
      <w:r>
        <w:rPr>
          <w:rFonts w:ascii="Arial" w:hAnsi="Arial"/>
          <w:sz w:val="20"/>
          <w:szCs w:val="20"/>
        </w:rPr>
        <w:br/>
      </w:r>
      <w:r>
        <w:rPr>
          <w:rFonts w:cs="Arial" w:ascii="Arial" w:hAnsi="Arial"/>
          <w:color w:val="000000"/>
          <w:sz w:val="20"/>
          <w:szCs w:val="20"/>
        </w:rPr>
        <w:t xml:space="preserve">8.9.4. </w:t>
      </w:r>
      <w:bookmarkStart w:id="6" w:name="_GoBack1111"/>
      <w:r>
        <w:rPr>
          <w:rFonts w:cs="Arial" w:ascii="Arial" w:hAnsi="Arial"/>
          <w:color w:val="000000"/>
          <w:sz w:val="20"/>
          <w:szCs w:val="20"/>
        </w:rPr>
        <w:t>Substituir quaisquer objeto que não esteja dentro do padrão de qualidade, em bom estado de conservação, que apresente defeito ou não esteja em conformidade com as especificações da proposta apresentada.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9. DO CONTROLE E FISCALIZAÇÃO DA EXECUÇÃO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9.1. A fiscalização será realizado pelo Almoxarifado da Secretaria Municipal de Saúde para acompanhar e fiscalizar a entrega dos equipamentos,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responsabilidade da Administração ou de seus agentes e prepostos, de conformidade com a Lei n.º 14.133/2021.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10. CRITÉRIOS DE PAGAMENTO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>
      <w:pPr>
        <w:pStyle w:val="Normal"/>
        <w:spacing w:lineRule="auto" w:line="240"/>
        <w:ind w:left="-22" w:hanging="0"/>
        <w:jc w:val="both"/>
        <w:rPr/>
      </w:pPr>
      <w:r>
        <w:rPr>
          <w:rFonts w:ascii="Arial" w:hAnsi="Arial"/>
          <w:sz w:val="20"/>
          <w:szCs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sz w:val="20"/>
          <w:szCs w:val="20"/>
          <w:rFonts w:ascii="Arial" w:hAnsi="Arial"/>
          <w:color w:val="000000"/>
        </w:rPr>
        <w:instrText xml:space="preserve"> HYPERLINK "http://www.planalto.gov.br/ccivil_03/_ato2019-2022/2021/lei/L14133.htm" \l "art75"</w:instrText>
      </w:r>
      <w:r>
        <w:rPr>
          <w:sz w:val="20"/>
          <w:szCs w:val="20"/>
          <w:rFonts w:ascii="Arial" w:hAnsi="Arial"/>
          <w:color w:val="000000"/>
        </w:rPr>
        <w:fldChar w:fldCharType="separate"/>
      </w:r>
      <w:r>
        <w:rPr>
          <w:rFonts w:ascii="Arial" w:hAnsi="Arial"/>
          <w:color w:val="000000"/>
          <w:sz w:val="20"/>
          <w:szCs w:val="20"/>
        </w:rPr>
        <w:t>inciso II do art. 75 da Lei nº 14.133, de 2021</w:t>
      </w:r>
      <w:r>
        <w:rPr>
          <w:sz w:val="20"/>
          <w:szCs w:val="20"/>
          <w:rFonts w:ascii="Arial" w:hAnsi="Arial"/>
          <w:color w:val="000000"/>
        </w:rPr>
        <w:fldChar w:fldCharType="end"/>
      </w:r>
      <w:r>
        <w:rPr>
          <w:rFonts w:ascii="Arial" w:hAnsi="Arial"/>
          <w:color w:val="000000"/>
          <w:sz w:val="20"/>
          <w:szCs w:val="20"/>
        </w:rPr>
        <w:t>.</w:t>
      </w:r>
    </w:p>
    <w:p>
      <w:pPr>
        <w:pStyle w:val="Normal"/>
        <w:spacing w:lineRule="auto" w:line="240"/>
        <w:ind w:left="-2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625" w:leader="none"/>
        </w:tabs>
        <w:spacing w:lineRule="auto" w:line="240"/>
        <w:ind w:left="-57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40"/>
        <w:ind w:left="-22" w:hanging="0"/>
        <w:jc w:val="both"/>
        <w:rPr/>
      </w:pPr>
      <w:r>
        <w:rPr>
          <w:rFonts w:ascii="Arial" w:hAnsi="Arial"/>
          <w:sz w:val="20"/>
          <w:szCs w:val="20"/>
        </w:rPr>
        <w:t>10.5. A</w:t>
      </w:r>
      <w:r>
        <w:rPr>
          <w:rFonts w:ascii="Arial" w:hAnsi="Arial"/>
          <w:sz w:val="20"/>
          <w:szCs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1"/>
          <w:rFonts w:ascii="Arial" w:hAnsi="Arial"/>
          <w:sz w:val="20"/>
          <w:szCs w:val="20"/>
          <w:lang w:eastAsia="en-US"/>
        </w:rPr>
        <w:t>.</w:t>
      </w:r>
    </w:p>
    <w:p>
      <w:pPr>
        <w:pStyle w:val="Normal"/>
        <w:spacing w:lineRule="auto" w:line="240"/>
        <w:ind w:left="-2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240"/>
        <w:ind w:left="-2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10.7. O pagamento será realizado por meio de ordem bancária, para crédito em banco, agência e conta correntes indicadas pelo contratado.</w:t>
      </w:r>
    </w:p>
    <w:p>
      <w:pPr>
        <w:pStyle w:val="Normal"/>
        <w:spacing w:lineRule="auto" w:line="240"/>
        <w:ind w:left="-22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10.8. Será considerada data do pagamento o dia em que constar como emitida a ordem bancária para pagamento.</w:t>
      </w:r>
    </w:p>
    <w:p>
      <w:pPr>
        <w:pStyle w:val="Normal"/>
        <w:spacing w:lineRule="auto" w:line="240"/>
        <w:ind w:left="-79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10.9. Quando do pagamento, será efetuada a retenção tributária prevista na legislação aplicável.</w:t>
      </w:r>
    </w:p>
    <w:p>
      <w:pPr>
        <w:pStyle w:val="Normal"/>
        <w:spacing w:lineRule="auto" w:line="240"/>
        <w:ind w:left="-79" w:hanging="0"/>
        <w:jc w:val="both"/>
        <w:rPr/>
      </w:pPr>
      <w:r>
        <w:rPr>
          <w:rFonts w:ascii="Arial" w:hAnsi="Arial"/>
          <w:sz w:val="20"/>
          <w:szCs w:val="20"/>
          <w:lang w:eastAsia="en-US"/>
        </w:rPr>
        <w:t xml:space="preserve">10.10. O contratado regularmente optante pelo Simples Nacional, nos termos da </w:t>
      </w:r>
      <w:hyperlink r:id="rId2">
        <w:r>
          <w:rPr>
            <w:rFonts w:ascii="Arial" w:hAnsi="Arial"/>
            <w:sz w:val="20"/>
            <w:szCs w:val="20"/>
            <w:lang w:eastAsia="en-US"/>
          </w:rPr>
          <w:t>Lei Complementar nº 123, de 2006</w:t>
        </w:r>
      </w:hyperlink>
      <w:r>
        <w:rPr>
          <w:rFonts w:ascii="Arial" w:hAnsi="Arial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40"/>
        <w:ind w:left="-79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  <w:lang w:eastAsia="en-US"/>
        </w:rPr>
        <w:t>10.11.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spacing w:lineRule="auto" w:line="240"/>
        <w:ind w:left="-79" w:hanging="0"/>
        <w:jc w:val="both"/>
        <w:rPr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10.11.</w:t>
      </w:r>
      <w:r>
        <w:rPr>
          <w:rFonts w:ascii="Arial" w:hAnsi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 Após o prazo acima referenciado, será paga multa financeira nos seguintes termos:</w:t>
      </w:r>
    </w:p>
    <w:p>
      <w:pPr>
        <w:pStyle w:val="ListParagraph"/>
        <w:tabs>
          <w:tab w:val="clear" w:pos="708"/>
          <w:tab w:val="left" w:pos="518" w:leader="none"/>
        </w:tabs>
        <w:spacing w:lineRule="auto" w:line="240"/>
        <w:ind w:left="0" w:hanging="0"/>
        <w:jc w:val="center"/>
        <w:rPr>
          <w:sz w:val="20"/>
          <w:szCs w:val="20"/>
        </w:rPr>
      </w:pPr>
      <w:r>
        <w:rPr>
          <w:rFonts w:cs="Verdana" w:ascii="Arial" w:hAnsi="Arial"/>
          <w:sz w:val="20"/>
          <w:szCs w:val="20"/>
        </w:rPr>
        <w:t xml:space="preserve">VM = VF </w:t>
      </w:r>
      <w:r>
        <w:rPr>
          <w:rFonts w:cs="Verdana" w:ascii="Arial" w:hAnsi="Arial"/>
          <w:sz w:val="20"/>
          <w:szCs w:val="20"/>
          <w:vertAlign w:val="subscript"/>
        </w:rPr>
        <w:t>*</w:t>
      </w:r>
      <w:r>
        <w:rPr>
          <w:rFonts w:cs="Verdana" w:ascii="Arial" w:hAnsi="Arial"/>
          <w:sz w:val="20"/>
          <w:szCs w:val="20"/>
        </w:rPr>
        <w:t xml:space="preserve"> </w:t>
      </w:r>
      <w:r>
        <w:rPr>
          <w:rFonts w:cs="Verdana" w:ascii="Arial" w:hAnsi="Arial"/>
          <w:sz w:val="20"/>
          <w:szCs w:val="20"/>
          <w:u w:val="single"/>
        </w:rPr>
        <w:t>0,33</w:t>
      </w:r>
      <w:r>
        <w:rPr>
          <w:rFonts w:cs="Verdana" w:ascii="Arial" w:hAnsi="Arial"/>
          <w:sz w:val="20"/>
          <w:szCs w:val="20"/>
        </w:rPr>
        <w:t xml:space="preserve"> </w:t>
      </w:r>
      <w:r>
        <w:rPr>
          <w:rFonts w:cs="Verdana" w:ascii="Arial" w:hAnsi="Arial"/>
          <w:sz w:val="20"/>
          <w:szCs w:val="20"/>
          <w:vertAlign w:val="subscript"/>
        </w:rPr>
        <w:t>*</w:t>
      </w:r>
      <w:r>
        <w:rPr>
          <w:rFonts w:cs="Verdana" w:ascii="Arial" w:hAnsi="Arial"/>
          <w:sz w:val="20"/>
          <w:szCs w:val="20"/>
        </w:rPr>
        <w:t xml:space="preserve"> ND</w:t>
      </w:r>
    </w:p>
    <w:p>
      <w:pPr>
        <w:pStyle w:val="ListParagraph"/>
        <w:tabs>
          <w:tab w:val="clear" w:pos="708"/>
          <w:tab w:val="left" w:pos="518" w:leader="none"/>
        </w:tabs>
        <w:spacing w:lineRule="auto" w:line="240"/>
        <w:ind w:left="0" w:hanging="0"/>
        <w:jc w:val="center"/>
        <w:rPr>
          <w:sz w:val="20"/>
          <w:szCs w:val="20"/>
        </w:rPr>
      </w:pPr>
      <w:r>
        <w:rPr>
          <w:rFonts w:eastAsia="Verdana" w:cs="Verdana" w:ascii="Arial" w:hAnsi="Arial"/>
          <w:sz w:val="20"/>
          <w:szCs w:val="20"/>
        </w:rPr>
        <w:t xml:space="preserve">        </w:t>
      </w:r>
      <w:r>
        <w:rPr>
          <w:rFonts w:cs="Verdana" w:ascii="Arial" w:hAnsi="Arial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40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240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40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VF = Valor da Nota Fiscal; </w:t>
      </w:r>
    </w:p>
    <w:p>
      <w:pPr>
        <w:pStyle w:val="ListParagraph"/>
        <w:tabs>
          <w:tab w:val="clear" w:pos="708"/>
          <w:tab w:val="left" w:pos="518" w:leader="none"/>
        </w:tabs>
        <w:spacing w:lineRule="auto" w:line="240"/>
        <w:ind w:left="0" w:hanging="0"/>
        <w:rPr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ND = Número de dias em atraso.</w:t>
      </w:r>
    </w:p>
    <w:p>
      <w:pPr>
        <w:pStyle w:val="Normal"/>
        <w:suppressAutoHyphens w:val="false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10.12.. A NOTA FISCAL ELETRÔNICA deverá conter o mesmo CNPJ e razão social apresentado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10.13.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10.14. 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10.15. Para a efetivação do pagamento, a CONTRATADA deverá manter as </w:t>
      </w:r>
      <w:r>
        <w:rPr>
          <w:rFonts w:cs="Arial" w:ascii="Arial" w:hAnsi="Arial"/>
          <w:sz w:val="20"/>
          <w:szCs w:val="20"/>
          <w:lang w:eastAsia="pt-BR"/>
        </w:rPr>
        <w:t>condições relativas à proposta de preço e a habilitação;</w:t>
      </w:r>
    </w:p>
    <w:p>
      <w:pPr>
        <w:pStyle w:val="Default"/>
        <w:spacing w:lineRule="auto" w:line="2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b/>
          <w:bCs/>
          <w:iCs/>
          <w:color w:val="000000"/>
          <w:sz w:val="20"/>
          <w:szCs w:val="20"/>
        </w:rPr>
        <w:t>11</w:t>
      </w:r>
      <w:r>
        <w:rPr>
          <w:rFonts w:ascii="Arial" w:hAnsi="Arial"/>
          <w:b/>
          <w:bCs/>
          <w:iCs/>
          <w:sz w:val="20"/>
          <w:szCs w:val="20"/>
        </w:rPr>
        <w:t>. DAS SANÇÕES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.1.1. Dar causa à inexecução parcial do contrato.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 xml:space="preserve">.1.3. Dar causa à inexecução </w:t>
      </w:r>
      <w:r>
        <w:rPr>
          <w:rFonts w:cs="Arial" w:ascii="Arial" w:hAnsi="Arial"/>
          <w:iCs/>
          <w:sz w:val="20"/>
          <w:szCs w:val="20"/>
        </w:rPr>
        <w:t>total.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.1.4. Deixar de entregar a documentação exigida para o certame.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.1.5. Não manter a proposta, salvo em decorrência de fato superveniente devidamente justificado.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.1.7. Ensejar o retardamento da execução ou da entrega do objeto sem motivo justificado,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11.1.9. Fraudar a dispensa eletrônica ou praticar ato fraudulento na execução do objeto.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.1.10. Comportar-se de modo inidôneo ou cometer fraude de qualquer natureza.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.1.11. Praticar atos ilícitos com vistas a frustrar os objetivos deste certame.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.1.12. Praticar ato lesivo previsto no art. 5º da Lei nº 12.846, de 1º de agosto de 2013.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11.1.13.</w:t>
      </w:r>
      <w:r>
        <w:rPr>
          <w:rFonts w:ascii="Arial" w:hAnsi="Arial"/>
          <w:iCs/>
          <w:sz w:val="20"/>
          <w:szCs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 xml:space="preserve">         </w:t>
      </w:r>
      <w:r>
        <w:rPr>
          <w:rFonts w:ascii="Arial" w:hAnsi="Arial"/>
          <w:iCs/>
          <w:sz w:val="20"/>
          <w:szCs w:val="20"/>
        </w:rPr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240"/>
        <w:ind w:left="-57" w:hanging="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 xml:space="preserve">            </w:t>
      </w:r>
      <w:r>
        <w:rPr>
          <w:rFonts w:ascii="Arial" w:hAnsi="Arial"/>
          <w:iCs/>
          <w:sz w:val="20"/>
          <w:szCs w:val="20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240"/>
        <w:ind w:left="-57" w:hanging="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ab/>
        <w:tab/>
        <w:t xml:space="preserve"> b.1) O valor da multa poderá ser descontado das faturas devidas à CONTRATADA;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 xml:space="preserve">           </w:t>
      </w:r>
      <w:r>
        <w:rPr>
          <w:rFonts w:ascii="Arial" w:hAnsi="Arial"/>
          <w:iCs/>
          <w:sz w:val="20"/>
          <w:szCs w:val="20"/>
        </w:rPr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 xml:space="preserve">       </w:t>
      </w:r>
      <w:r>
        <w:rPr>
          <w:rFonts w:ascii="Arial" w:hAnsi="Arial"/>
          <w:iCs/>
          <w:sz w:val="20"/>
          <w:szCs w:val="20"/>
        </w:rPr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 xml:space="preserve">        </w:t>
      </w:r>
      <w:r>
        <w:rPr>
          <w:rFonts w:ascii="Arial" w:hAnsi="Arial"/>
          <w:iCs/>
          <w:sz w:val="20"/>
          <w:szCs w:val="20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.3. Na aplicação das sanções serão considerados: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.3.1. A natureza e a gravidade da infração cometida.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11.3.2. As peculiaridades do caso concreto.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11.3.3. As circunstâncias agravantes ou atenuantes.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11.3.4. Os danos que dela provierem para a Administração Pública.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color w:val="000000"/>
          <w:sz w:val="20"/>
          <w:szCs w:val="20"/>
        </w:rPr>
        <w:t>11</w:t>
      </w:r>
      <w:r>
        <w:rPr>
          <w:rFonts w:ascii="Arial" w:hAnsi="Arial"/>
          <w:iCs/>
          <w:sz w:val="20"/>
          <w:szCs w:val="20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Arial" w:hAnsi="Arial"/>
          <w:iCs/>
          <w:sz w:val="20"/>
          <w:szCs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left="-79" w:hanging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ind w:left="-79" w:hanging="0"/>
        <w:jc w:val="both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>12. DA HABILITAÇÃO</w:t>
      </w:r>
    </w:p>
    <w:p>
      <w:pPr>
        <w:pStyle w:val="Nivel011"/>
        <w:tabs>
          <w:tab w:val="left" w:pos="517" w:leader="none"/>
          <w:tab w:val="left" w:pos="567" w:leader="none"/>
          <w:tab w:val="left" w:pos="683" w:leader="none"/>
        </w:tabs>
        <w:spacing w:lineRule="auto" w:line="240" w:before="57" w:after="57"/>
        <w:ind w:left="-57" w:hanging="0"/>
        <w:rPr>
          <w:sz w:val="20"/>
          <w:szCs w:val="20"/>
        </w:rPr>
      </w:pPr>
      <w:r>
        <w:rPr>
          <w:rFonts w:cs="Verdana" w:ascii="Arial" w:hAnsi="Arial"/>
          <w:b w:val="false"/>
          <w:bCs w:val="false"/>
          <w:sz w:val="20"/>
          <w:szCs w:val="20"/>
          <w:lang w:eastAsia="ar-SA"/>
        </w:rPr>
        <w:t>12.1.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/>
      </w:pPr>
      <w:r>
        <w:rPr>
          <w:rFonts w:cs="Verdana" w:ascii="Arial" w:hAnsi="Arial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Fonts w:cs="Verdana" w:ascii="Arial" w:hAnsi="Arial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cs="Verdana" w:ascii="Arial" w:hAnsi="Arial"/>
          <w:sz w:val="20"/>
          <w:szCs w:val="20"/>
          <w:lang w:eastAsia="ar-SA"/>
        </w:rPr>
        <w:t>);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/>
      </w:pPr>
      <w:r>
        <w:rPr>
          <w:rFonts w:cs="Verdana" w:ascii="Arial" w:hAnsi="Arial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Fonts w:cs="Verdana" w:ascii="Arial" w:hAnsi="Arial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Arial" w:hAnsi="Arial"/>
          <w:sz w:val="20"/>
          <w:szCs w:val="20"/>
          <w:lang w:eastAsia="ar-SA"/>
        </w:rPr>
        <w:t>).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Arial" w:hAnsi="Arial"/>
          <w:sz w:val="20"/>
          <w:szCs w:val="20"/>
          <w:lang w:eastAsia="ar-SA"/>
        </w:rPr>
        <w:t>e) Cadastro de empresas inid</w:t>
      </w:r>
      <w:r>
        <w:rPr>
          <w:rFonts w:cs="Verdana" w:ascii="Arial" w:hAnsi="Arial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Fonts w:cs="Verdana" w:ascii="Arial" w:hAnsi="Arial"/>
            <w:color w:val="000080"/>
            <w:sz w:val="20"/>
            <w:szCs w:val="20"/>
            <w:u w:val="single"/>
          </w:rPr>
          <w:t>https://www.tcees.tc.br/portal-da-transparencia/consultas/lista-de</w:t>
        </w:r>
      </w:hyperlink>
      <w:r>
        <w:rPr>
          <w:rFonts w:cs="Verdana" w:ascii="Arial" w:hAnsi="Arial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Arial" w:hAnsi="Arial"/>
          <w:sz w:val="20"/>
          <w:szCs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Fonts w:cs="Verdana" w:ascii="Arial" w:hAnsi="Arial"/>
            <w:color w:val="000080"/>
            <w:sz w:val="20"/>
            <w:szCs w:val="20"/>
            <w:u w:val="single"/>
            <w:lang w:eastAsia="ar-SA"/>
          </w:rPr>
          <w:t>https://certidoesapf.apps.tcu.gov.br/</w:t>
        </w:r>
      </w:hyperlink>
      <w:r>
        <w:rPr>
          <w:rFonts w:cs="Verdana" w:ascii="Arial" w:hAnsi="Arial"/>
          <w:sz w:val="20"/>
          <w:szCs w:val="20"/>
          <w:lang w:eastAsia="ar-SA"/>
        </w:rPr>
        <w:t>);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12.1.2.1</w:t>
      </w:r>
      <w:r>
        <w:rPr>
          <w:rFonts w:cs="Verdana" w:ascii="Arial" w:hAnsi="Arial"/>
          <w:b/>
          <w:bCs/>
          <w:color w:val="000000"/>
          <w:sz w:val="20"/>
          <w:szCs w:val="20"/>
        </w:rPr>
        <w:t>.</w:t>
      </w:r>
      <w:r>
        <w:rPr>
          <w:rFonts w:cs="Verdana" w:ascii="Arial" w:hAnsi="Arial"/>
          <w:bCs/>
          <w:color w:val="000000"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sz w:val="20"/>
          <w:szCs w:val="20"/>
          <w:lang w:eastAsia="ar-SA"/>
        </w:rPr>
        <w:t xml:space="preserve">12.2. </w:t>
      </w:r>
      <w:r>
        <w:rPr>
          <w:rFonts w:cs="Verdana" w:ascii="Arial" w:hAnsi="Arial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Arial" w:hAnsi="Arial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Arial" w:hAnsi="Arial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sz w:val="20"/>
          <w:szCs w:val="20"/>
        </w:rPr>
      </w:pPr>
      <w:r>
        <w:rPr>
          <w:rFonts w:cs="Verdana" w:ascii="Arial" w:hAnsi="Arial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sz w:val="20"/>
          <w:szCs w:val="20"/>
        </w:rPr>
      </w:pPr>
      <w:r>
        <w:rPr>
          <w:rFonts w:cs="Verdana" w:ascii="Arial" w:hAnsi="Arial"/>
          <w:sz w:val="20"/>
          <w:szCs w:val="20"/>
        </w:rPr>
        <w:t>12.5. Não serão aceitos documentos de habilitação com indicação de CNPJ/CPF diferentes, salvo aqueles legalmente permitidos.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sz w:val="20"/>
          <w:szCs w:val="20"/>
        </w:rPr>
      </w:pPr>
      <w:r>
        <w:rPr>
          <w:rFonts w:cs="Verdana" w:ascii="Arial" w:hAnsi="Arial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sz w:val="20"/>
          <w:szCs w:val="20"/>
        </w:rPr>
      </w:pPr>
      <w:r>
        <w:rPr>
          <w:rFonts w:cs="Verdana" w:ascii="Arial" w:hAnsi="Arial"/>
          <w:sz w:val="20"/>
          <w:szCs w:val="20"/>
        </w:rPr>
        <w:t>12.7. Ressalvado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40"/>
        <w:ind w:left="0" w:hanging="0"/>
        <w:jc w:val="both"/>
        <w:rPr>
          <w:sz w:val="20"/>
          <w:szCs w:val="20"/>
        </w:rPr>
      </w:pPr>
      <w:r>
        <w:rPr>
          <w:rFonts w:cs="Verdana" w:ascii="Arial" w:hAnsi="Arial"/>
          <w:b/>
          <w:bCs/>
          <w:color w:val="000000"/>
          <w:sz w:val="20"/>
          <w:szCs w:val="20"/>
        </w:rPr>
        <w:t>12.8 Habilitação jurídica: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12.8.1 No caso de empresário individual: inscrição no Registro Público de Empresas Mercantis, a cargo da Junta Comercial da respectiva sede.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/>
      </w:pPr>
      <w:r>
        <w:rPr>
          <w:rFonts w:cs="Verdana" w:ascii="Arial" w:hAnsi="Arial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Fonts w:cs="Verdana" w:ascii="Arial" w:hAnsi="Arial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Arial" w:hAnsi="Arial"/>
          <w:color w:val="000000"/>
          <w:sz w:val="20"/>
          <w:szCs w:val="20"/>
          <w:u w:val="single"/>
        </w:rPr>
        <w:t>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12.8.7 No</w:t>
      </w:r>
      <w:r>
        <w:rPr>
          <w:rFonts w:cs="Verdana" w:ascii="Arial" w:hAnsi="Arial"/>
          <w:bCs/>
          <w:color w:val="000000"/>
          <w:sz w:val="20"/>
          <w:szCs w:val="20"/>
        </w:rPr>
        <w:t xml:space="preserve"> caso de empresa ou sociedade estrangeira em funcionamento no País: decreto de autorização.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12.8.8 Os documentos acima deverão estar acompanhados de todas as alterações ou da con</w:t>
      </w:r>
      <w:r>
        <w:rPr>
          <w:rFonts w:cs="Verdana" w:ascii="Arial" w:hAnsi="Arial"/>
          <w:bCs/>
          <w:color w:val="000000"/>
          <w:sz w:val="20"/>
          <w:szCs w:val="20"/>
        </w:rPr>
        <w:t>solidação respectiva.</w:t>
      </w:r>
    </w:p>
    <w:p>
      <w:pPr>
        <w:pStyle w:val="ListParagraph"/>
        <w:spacing w:lineRule="auto" w:line="240"/>
        <w:ind w:left="0" w:hanging="0"/>
        <w:jc w:val="both"/>
        <w:rPr>
          <w:sz w:val="20"/>
          <w:szCs w:val="20"/>
        </w:rPr>
      </w:pPr>
      <w:r>
        <w:rPr>
          <w:rFonts w:cs="Verdana" w:ascii="Arial" w:hAnsi="Arial"/>
          <w:b/>
          <w:bCs/>
          <w:color w:val="000000"/>
          <w:sz w:val="20"/>
          <w:szCs w:val="20"/>
        </w:rPr>
        <w:t xml:space="preserve">12.9 Regularidade fiscal </w:t>
      </w:r>
      <w:r>
        <w:rPr>
          <w:rFonts w:cs="Verdana" w:ascii="Arial" w:hAnsi="Arial"/>
          <w:b/>
          <w:bCs/>
          <w:sz w:val="20"/>
          <w:szCs w:val="20"/>
        </w:rPr>
        <w:t>e trabalhista</w:t>
      </w:r>
      <w:r>
        <w:rPr>
          <w:rFonts w:cs="Verdana" w:ascii="Arial" w:hAnsi="Arial"/>
          <w:b/>
          <w:bCs/>
          <w:color w:val="0000FF"/>
          <w:sz w:val="20"/>
          <w:szCs w:val="20"/>
        </w:rPr>
        <w:t>: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Arial" w:hAnsi="Arial"/>
          <w:sz w:val="20"/>
          <w:szCs w:val="20"/>
          <w:lang w:eastAsia="en-US"/>
        </w:rPr>
        <w:t>12.9.1 Prova de inscrição no Cadastro Nacional de Pessoas Jurídicas ou no Cadastro de Pessoas Físicas, conforme o caso.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Arial" w:hAnsi="Arial"/>
          <w:sz w:val="20"/>
          <w:szCs w:val="20"/>
          <w:lang w:eastAsia="en-US"/>
        </w:rPr>
        <w:t>12.9.2 Certidão de regularidade junto à fazenda pública Municipal, do domicílio do Licitante.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Arial" w:hAnsi="Arial"/>
          <w:sz w:val="20"/>
          <w:szCs w:val="20"/>
        </w:rPr>
        <w:t>12.9.3 Certidão de regularidade junto à fazenda pública Estadual, do domicílio do Licitante.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Arial" w:hAnsi="Arial"/>
          <w:sz w:val="20"/>
          <w:szCs w:val="20"/>
        </w:rPr>
        <w:t>12.9.4 Certidão conjunta de regularidade junto à fazenda pública Federal, (Quitação de tributos e contribuições Federais e Quanto à dívida ativa da União) e junto ao INSS, conforme Portaria MF nº 358 de 05/09/2014.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Arial" w:hAnsi="Arial"/>
          <w:sz w:val="20"/>
          <w:szCs w:val="20"/>
        </w:rPr>
        <w:t>12.9.5 Certidão de regularidade junto ao FGTS;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Arial" w:hAnsi="Arial"/>
          <w:sz w:val="20"/>
          <w:szCs w:val="20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cs="Verdana" w:ascii="Arial" w:hAnsi="Arial"/>
          <w:color w:val="000000"/>
          <w:sz w:val="20"/>
          <w:szCs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>
      <w:pPr>
        <w:pStyle w:val="ListParagraph"/>
        <w:spacing w:lineRule="auto" w:line="240" w:before="57" w:after="57"/>
        <w:ind w:left="0" w:hanging="0"/>
        <w:contextualSpacing/>
        <w:jc w:val="both"/>
        <w:rPr>
          <w:sz w:val="20"/>
          <w:szCs w:val="20"/>
        </w:rPr>
      </w:pPr>
      <w:r>
        <w:rPr>
          <w:rFonts w:cs="Verdana" w:ascii="Arial" w:hAnsi="Arial"/>
          <w:b/>
          <w:color w:val="000000"/>
          <w:sz w:val="20"/>
          <w:szCs w:val="20"/>
        </w:rPr>
        <w:t>12.10 Qualificação Econômico-Financeira</w:t>
      </w:r>
      <w:r>
        <w:rPr>
          <w:rFonts w:cs="Verdana" w:ascii="Arial" w:hAnsi="Arial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</w:rPr>
        <w:t>12.10.2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ind w:left="-57" w:hanging="0"/>
        <w:jc w:val="both"/>
        <w:rPr>
          <w:sz w:val="20"/>
          <w:szCs w:val="20"/>
        </w:rPr>
      </w:pPr>
      <w:r>
        <w:rPr>
          <w:rFonts w:cs="Verdana" w:ascii="Arial" w:hAnsi="Arial"/>
          <w:sz w:val="20"/>
          <w:szCs w:val="20"/>
        </w:rPr>
        <w:t>12.10.3 Para a contagem do prazo estabelecido na letra “a”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ind w:left="-79" w:hanging="0"/>
        <w:jc w:val="both"/>
        <w:rPr>
          <w:sz w:val="20"/>
          <w:szCs w:val="20"/>
        </w:rPr>
      </w:pPr>
      <w:r>
        <w:rPr>
          <w:rFonts w:cs="Verdana" w:ascii="Arial" w:hAnsi="Arial"/>
          <w:color w:val="000000"/>
          <w:sz w:val="20"/>
          <w:szCs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40"/>
        <w:ind w:left="-79" w:hanging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13. ADEQUAÇÃO ORÇAMENTÁRIA </w:t>
      </w:r>
    </w:p>
    <w:p>
      <w:pPr>
        <w:pStyle w:val="ListParagraph"/>
        <w:spacing w:lineRule="auto" w:line="240"/>
        <w:ind w:left="0" w:hanging="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13.1.</w:t>
      </w:r>
      <w:r>
        <w:rPr>
          <w:rFonts w:ascii="Arial" w:hAnsi="Arial"/>
          <w:b/>
          <w:bCs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As despesas decorrentes da presente </w:t>
      </w:r>
      <w:r>
        <w:rPr>
          <w:rFonts w:eastAsia="Times New Roman" w:cs="Times New Roman" w:ascii="Arial" w:hAnsi="Arial"/>
          <w:sz w:val="20"/>
          <w:szCs w:val="20"/>
        </w:rPr>
        <w:t>aquisição</w:t>
      </w:r>
      <w:r>
        <w:rPr>
          <w:rFonts w:ascii="Arial" w:hAnsi="Arial"/>
          <w:sz w:val="20"/>
          <w:szCs w:val="20"/>
        </w:rPr>
        <w:t xml:space="preserve"> correrão à conta de recursos específicos consignados no Lei Orçamentária Anual, bem como requisição do sistema presente nos autos</w:t>
      </w:r>
      <w:r>
        <w:rPr>
          <w:rFonts w:cs="Arial" w:ascii="Arial" w:hAnsi="Arial"/>
          <w:b/>
          <w:sz w:val="20"/>
          <w:szCs w:val="20"/>
          <w:u w:val="single"/>
        </w:rPr>
        <w:t>: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Verdana" w:ascii="Arial" w:hAnsi="Arial"/>
          <w:b/>
          <w:bCs/>
          <w:color w:val="000000"/>
          <w:sz w:val="20"/>
          <w:szCs w:val="20"/>
          <w:u w:val="single"/>
          <w:shd w:fill="FFFFFF" w:val="clear"/>
        </w:rPr>
        <w:t xml:space="preserve">Projeto/Atividade – 000004000002.1030142032.407 – Manutenção do Programa de Saúde Bucal – Ficha 533 (EQUIPAMENTO E MATERIAL PERMANENTE) – Fonte de Recurso 160000000000 ficando na responsabilidade recurso </w:t>
      </w:r>
      <w:r>
        <w:rPr>
          <w:rFonts w:cs="Verdana" w:ascii="Arial" w:hAnsi="Arial"/>
          <w:color w:val="000000"/>
          <w:sz w:val="20"/>
          <w:szCs w:val="20"/>
          <w:u w:val="single"/>
          <w:shd w:fill="FFFFFF" w:val="clear"/>
        </w:rPr>
        <w:t>PROGRAMA DE SAÚDE BUCAL.</w:t>
      </w:r>
    </w:p>
    <w:p>
      <w:pPr>
        <w:pStyle w:val="Normal"/>
        <w:spacing w:lineRule="auto" w:line="240"/>
        <w:jc w:val="both"/>
        <w:rPr>
          <w:rFonts w:ascii="Arial" w:hAnsi="Arial" w:cs="Verdana"/>
          <w:color w:val="000000"/>
          <w:sz w:val="20"/>
          <w:szCs w:val="20"/>
          <w:u w:val="single"/>
          <w:shd w:fill="FFFFFF" w:val="clear"/>
        </w:rPr>
      </w:pPr>
      <w:r>
        <w:rPr>
          <w:rFonts w:cs="Verdana" w:ascii="Arial" w:hAnsi="Arial"/>
          <w:color w:val="000000"/>
          <w:sz w:val="20"/>
          <w:szCs w:val="20"/>
          <w:u w:val="single"/>
          <w:shd w:fill="FFFFFF" w:val="clear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14. DOS RESPONSÁVEIS PELA ELABORAÇÃO DO TERMO DE REFERÊNCIA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14.1. A compilação de parte das informações mencionados na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40"/>
        <w:jc w:val="right"/>
        <w:rPr>
          <w:rFonts w:ascii="Arial" w:hAnsi="Arial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jc w:val="right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São Gabriel da Palha, 18 de julho de 2024</w:t>
      </w:r>
    </w:p>
    <w:p>
      <w:pPr>
        <w:pStyle w:val="Normal"/>
        <w:spacing w:lineRule="auto" w:line="240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  <w:u w:val="single"/>
        </w:rPr>
        <w:t>KARINA ARRIVABENE</w:t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  <w:u w:val="single"/>
        </w:rPr>
        <w:t>Escriturário</w:t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Mat nº 003463</w:t>
      </w:r>
    </w:p>
    <w:p>
      <w:pPr>
        <w:pStyle w:val="Normal"/>
        <w:spacing w:lineRule="auto" w:line="24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APROVADO POR:</w:t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MARCELLA FERREIRA ROSSONI ROCHA</w:t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SECRETÁRIA MUNICIPAL DE SAÚDE - INTERINA</w:t>
      </w:r>
    </w:p>
    <w:p>
      <w:pPr>
        <w:pStyle w:val="Normal"/>
        <w:spacing w:lineRule="auto" w:line="24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sectPr>
      <w:headerReference w:type="default" r:id="rId8"/>
      <w:footerReference w:type="default" r:id="rId9"/>
      <w:type w:val="nextPage"/>
      <w:pgSz w:w="11906" w:h="16838"/>
      <w:pgMar w:left="1550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Rodap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pt-BR" w:val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Hyperlink1" w:customStyle="1">
    <w:name w:val="Hyperlink1"/>
    <w:qFormat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link w:val="Quote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pt-BR"/>
    </w:rPr>
  </w:style>
  <w:style w:type="character" w:styleId="Scayt-misspell-word" w:customStyle="1">
    <w:name w:val="scayt-misspell-word"/>
    <w:qFormat/>
    <w:rPr/>
  </w:style>
  <w:style w:type="character" w:styleId="Apple-converted-space" w:customStyle="1">
    <w:name w:val="apple-converted-space"/>
    <w:qFormat/>
    <w:rPr/>
  </w:style>
  <w:style w:type="character" w:styleId="QuoteChar" w:customStyle="1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01Char" w:customStyle="1">
    <w:name w:val="Nivel_01 Char"/>
    <w:qFormat/>
    <w:rPr>
      <w:rFonts w:ascii="Ecofont_Spranq_eco_Sans" w:hAnsi="Ecofont_Spranq_eco_Sans" w:eastAsia="MS Gothic" w:cs="Times New Roman"/>
      <w:b/>
      <w:bCs/>
      <w:color w:val="365F91"/>
      <w:sz w:val="32"/>
      <w:szCs w:val="32"/>
    </w:rPr>
  </w:style>
  <w:style w:type="character" w:styleId="Nivel01Char1" w:customStyle="1">
    <w:name w:val="Nivel 01 Char"/>
    <w:qFormat/>
    <w:rPr>
      <w:rFonts w:ascii="Ecofont_Spranq_eco_Sans" w:hAnsi="Ecofont_Spranq_eco_Sans" w:eastAsia="MS Gothic"/>
      <w:b/>
      <w:bCs/>
      <w:color w:val="000000"/>
    </w:rPr>
  </w:style>
  <w:style w:type="character" w:styleId="AssuntodocomentrioChar" w:customStyle="1">
    <w:name w:val="Assunto do comentário Char"/>
    <w:qFormat/>
    <w:rPr>
      <w:rFonts w:ascii="Arial" w:hAnsi="Arial" w:cs="Tahoma"/>
      <w:b/>
      <w:bCs/>
    </w:rPr>
  </w:style>
  <w:style w:type="character" w:styleId="TextodecomentrioChar" w:customStyle="1">
    <w:name w:val="Texto de comentário Char"/>
    <w:qFormat/>
    <w:rPr>
      <w:rFonts w:ascii="Arial" w:hAnsi="Arial" w:cs="Tahoma"/>
    </w:rPr>
  </w:style>
  <w:style w:type="character" w:styleId="Annotationreference">
    <w:name w:val="annotation reference"/>
    <w:qFormat/>
    <w:rPr>
      <w:sz w:val="18"/>
      <w:szCs w:val="18"/>
    </w:rPr>
  </w:style>
  <w:style w:type="character" w:styleId="GradeColorida-nfase1Char" w:customStyle="1">
    <w:name w:val="Grade Colorida - Ênfase 1 Char"/>
    <w:qFormat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itao2Char" w:customStyle="1">
    <w:name w:val="citação 2 Char"/>
    <w:qFormat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Apple-style-span" w:customStyle="1">
    <w:name w:val="apple-style-span"/>
    <w:qFormat/>
    <w:rPr/>
  </w:style>
  <w:style w:type="character" w:styleId="Normalchar1" w:customStyle="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 w:customStyle="1">
    <w:name w:val="Título 2 Char"/>
    <w:qFormat/>
    <w:rPr>
      <w:b/>
      <w:color w:val="000000"/>
      <w:sz w:val="24"/>
    </w:rPr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LinkdaInternet">
    <w:name w:val="Hyperlink"/>
    <w:rPr>
      <w:color w:val="0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eastAsia="pt-BR" w:val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Ttulo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eastAsia="zh-CN" w:bidi="hi-IN" w:val="pt-BR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before="120" w:after="120"/>
      <w:ind w:left="425" w:hanging="0"/>
      <w:contextualSpacing/>
      <w:jc w:val="both"/>
    </w:pPr>
    <w:rPr>
      <w:rFonts w:ascii="Arial" w:hAnsi="Arial" w:cs="Arial"/>
      <w:sz w:val="20"/>
    </w:rPr>
  </w:style>
  <w:style w:type="paragraph" w:styleId="TableParagraph" w:customStyle="1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eastAsia="zh-CN" w:bidi="hi-IN" w:val="pt-BR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t-BR" w:bidi="ar-SA"/>
    </w:rPr>
  </w:style>
  <w:style w:type="paragraph" w:styleId="Citao1" w:customStyle="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 w:customStyle="1">
    <w:name w:val="Nivel 5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left="3485" w:hanging="0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4" w:customStyle="1">
    <w:name w:val="Nivel 4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left="2491" w:hanging="0"/>
      <w:jc w:val="both"/>
    </w:pPr>
    <w:rPr>
      <w:rFonts w:ascii="Ecofont_Spranq_eco_Sans" w:hAnsi="Ecofont_Spranq_eco_Sans" w:eastAsia="Arial Unicode MS" w:cs="Arial"/>
      <w:color w:val="auto"/>
      <w:kern w:val="0"/>
      <w:sz w:val="22"/>
      <w:szCs w:val="22"/>
      <w:lang w:val="pt-BR" w:eastAsia="en-US" w:bidi="ar-SA"/>
    </w:rPr>
  </w:style>
  <w:style w:type="paragraph" w:styleId="Nivel11" w:customStyle="1">
    <w:name w:val="Nivel 1"/>
    <w:qFormat/>
    <w:pPr>
      <w:widowControl/>
      <w:tabs>
        <w:tab w:val="clear" w:pos="708"/>
        <w:tab w:val="left" w:pos="360" w:leader="none"/>
      </w:tabs>
      <w:suppressAutoHyphens w:val="true"/>
      <w:bidi w:val="0"/>
      <w:spacing w:lineRule="auto" w:line="276" w:before="120" w:after="120"/>
      <w:ind w:left="644" w:hanging="432"/>
      <w:jc w:val="both"/>
    </w:pPr>
    <w:rPr>
      <w:rFonts w:ascii="Ecofont_Spranq_eco_Sans" w:hAnsi="Ecofont_Spranq_eco_Sans" w:eastAsia="Arial Unicode MS" w:cs="Arial"/>
      <w:b/>
      <w:color w:val="auto"/>
      <w:kern w:val="0"/>
      <w:sz w:val="22"/>
      <w:szCs w:val="22"/>
      <w:lang w:val="pt-BR" w:eastAsia="en-US" w:bidi="ar-SA"/>
    </w:rPr>
  </w:style>
  <w:style w:type="paragraph" w:styleId="PargrafodaLista1" w:customStyle="1">
    <w:name w:val="Parágrafo da Lista1"/>
    <w:basedOn w:val="Normal"/>
    <w:qFormat/>
    <w:pPr>
      <w:ind w:left="720" w:hanging="0"/>
    </w:pPr>
    <w:rPr>
      <w:rFonts w:ascii="Ecofont_Spranq_eco_Sans" w:hAnsi="Ecofont_Spranq_eco_Sans" w:cs="Ecofont_Spranq_eco_Sans"/>
    </w:rPr>
  </w:style>
  <w:style w:type="paragraph" w:styleId="SombreamentoMdio1-nfase31" w:customStyle="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" w:customStyle="1">
    <w:name w:val="Nivel_01"/>
    <w:basedOn w:val="Ttulo1"/>
    <w:qFormat/>
    <w:pPr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MS Gothic" w:cs="Times New Roman"/>
      <w:color w:val="365F91"/>
      <w:sz w:val="20"/>
      <w:szCs w:val="20"/>
    </w:rPr>
  </w:style>
  <w:style w:type="paragraph" w:styleId="Nivel011" w:customStyle="1">
    <w:name w:val="Nivel 01"/>
    <w:basedOn w:val="Ttulo1"/>
    <w:qFormat/>
    <w:pPr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MS Gothic" w:cs="Times New Roman"/>
      <w:color w:val="000000"/>
      <w:sz w:val="20"/>
      <w:szCs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0" w:asciiTheme="minorHAnsi" w:eastAsiaTheme="minorHAnsi" w:hAnsiTheme="minorHAnsi"/>
      <w:b/>
      <w:bCs/>
      <w:color w:val="auto"/>
      <w:kern w:val="0"/>
      <w:sz w:val="20"/>
      <w:szCs w:val="20"/>
      <w:lang w:val="pt-BR" w:eastAsia="en-US" w:bidi="ar-SA"/>
    </w:rPr>
  </w:style>
  <w:style w:type="paragraph" w:styleId="Annotationtext">
    <w:name w:val="annotation text"/>
    <w:basedOn w:val="Normal"/>
    <w:qFormat/>
    <w:pPr/>
    <w:rPr/>
  </w:style>
  <w:style w:type="paragraph" w:styleId="GradeColorida-nfase11" w:customStyle="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val="x-none" w:eastAsia="en-US"/>
    </w:rPr>
  </w:style>
  <w:style w:type="paragraph" w:styleId="ListBullet5">
    <w:name w:val="List Bullet 5"/>
    <w:basedOn w:val="Normal"/>
    <w:qFormat/>
    <w:pPr>
      <w:spacing w:before="0" w:after="0"/>
      <w:contextualSpacing/>
    </w:pPr>
    <w:rPr/>
  </w:style>
  <w:style w:type="paragraph" w:styleId="Nvel2" w:customStyle="1">
    <w:name w:val="Nível 2"/>
    <w:basedOn w:val="Normal"/>
    <w:qFormat/>
    <w:pPr>
      <w:spacing w:before="0" w:after="120"/>
      <w:jc w:val="both"/>
    </w:pPr>
    <w:rPr>
      <w:b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pPr>
      <w:spacing w:beforeAutospacing="1" w:afterAutospacing="1"/>
    </w:pPr>
    <w:rPr/>
  </w:style>
  <w:style w:type="paragraph" w:styleId="Contedodatabela" w:customStyle="1">
    <w:name w:val="Conteúdo da tabela"/>
    <w:basedOn w:val="Normal"/>
    <w:qFormat/>
    <w:pPr/>
    <w:rPr/>
  </w:style>
  <w:style w:type="paragraph" w:styleId="Ttulodetabela" w:customStyle="1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Application>LibreOffice/7.5.7.1$Windows_X86_64 LibreOffice_project/47eb0cf7efbacdee9b19ae25d6752381ede23126</Application>
  <AppVersion>15.0000</AppVersion>
  <Pages>8</Pages>
  <Words>4179</Words>
  <Characters>24203</Characters>
  <CharactersWithSpaces>28281</CharactersWithSpaces>
  <Paragraphs>203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2024-08-08T15:24:00Z</dcterms:created>
  <dc:creator>Ruth Barbara da Silwa Nascimento</dc:creator>
  <dc:description/>
  <dc:language>pt-BR</dc:language>
  <cp:lastModifiedBy/>
  <cp:lastPrinted>2024-08-08T13:47:30Z</cp:lastPrinted>
  <dcterms:modified xsi:type="dcterms:W3CDTF">2024-08-08T13:47:39Z</dcterms:modified>
  <cp:revision>125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